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0219" w:rsidRDefault="00D35C8B">
      <w:pPr>
        <w:pStyle w:val="Szvegtrzs"/>
        <w:spacing w:before="240" w:after="480" w:line="240" w:lineRule="auto"/>
        <w:jc w:val="center"/>
        <w:rPr>
          <w:b/>
          <w:bCs/>
        </w:rPr>
      </w:pPr>
      <w:bookmarkStart w:id="0" w:name="_GoBack"/>
      <w:bookmarkEnd w:id="0"/>
      <w:r>
        <w:rPr>
          <w:b/>
          <w:bCs/>
        </w:rPr>
        <w:t>Dunakeszi Város Önkormányzata Képviselő-testületének .../.... (...) önkormányzati rendelete</w:t>
      </w:r>
    </w:p>
    <w:p w:rsidR="00600219" w:rsidRDefault="00D35C8B">
      <w:pPr>
        <w:pStyle w:val="Szvegtrzs"/>
        <w:spacing w:before="240" w:after="480" w:line="240" w:lineRule="auto"/>
        <w:jc w:val="center"/>
        <w:rPr>
          <w:b/>
          <w:bCs/>
        </w:rPr>
      </w:pPr>
      <w:r>
        <w:rPr>
          <w:b/>
          <w:bCs/>
        </w:rPr>
        <w:t>A szociális rászorultságtól függő pénzbeli és természetbeni támogatásokról, valamint a személyes gondoskodást nyújtó szociális és gyermekjóléti ellátásokról szóló 5/2015. (II.27.) számú önkormányzati rendelet módosításáról</w:t>
      </w:r>
    </w:p>
    <w:p w:rsidR="008578AA" w:rsidRDefault="008578AA" w:rsidP="008578AA">
      <w:pPr>
        <w:pStyle w:val="Szvegtrzs"/>
        <w:spacing w:before="240" w:after="240" w:line="240" w:lineRule="auto"/>
        <w:jc w:val="both"/>
        <w:rPr>
          <w:rFonts w:cs="Times New Roman"/>
        </w:rPr>
      </w:pPr>
      <w:r w:rsidRPr="00C64479">
        <w:rPr>
          <w:rFonts w:cs="Times New Roman"/>
        </w:rPr>
        <w:t>Dunakeszi Város Önkormányzata Képviselő-testülete az Alaptörvény 32. cikk (2) bekezdésében és Magyarország helyi Önkormányzatairól szóló 2011. évi CLXXXIX. törvény 13. § (1) bekezdés 8. és 10. pontjaiban meghatározott feladatkörében eljárva, a szociális igazgatásról és szociális ellátásokról szóló 1993. évi III. törvény 10. § (1) bekezdésében, 25 § (3) bekezdés b) pontjában, 26. §-ában, 32. § (1) bekezdés b) pontjában, 32. § (3) bekezdésében, 45. §-ában, 48. § (4) bekezdésében, 58/B. § (2) bekezdésében, 62. § (2) bekezdésében, 92. § (1) bekezdés a) pontjában és (2) bekezdésében, 115. § (3) bekezdésében, illetve 132. § (4) bekezdésében, valamint a gyermekek védelméről és a gyámügyi igazgatásról szóló 1997. évi XXXI. törvény 18. § (2) bekezdésében, 29. § (1) és (2) bekezdéseiben, illetve 131. § (1) bekezdésében kapott felhatalmazás alapján az alábbi rendeletet alkotja:</w:t>
      </w:r>
    </w:p>
    <w:p w:rsidR="00600219" w:rsidRDefault="00D35C8B" w:rsidP="008578AA">
      <w:pPr>
        <w:pStyle w:val="Szvegtrzs"/>
        <w:spacing w:before="240" w:after="240" w:line="240" w:lineRule="auto"/>
        <w:jc w:val="center"/>
        <w:rPr>
          <w:b/>
          <w:bCs/>
        </w:rPr>
      </w:pPr>
      <w:r>
        <w:rPr>
          <w:b/>
          <w:bCs/>
        </w:rPr>
        <w:t>1. §</w:t>
      </w:r>
    </w:p>
    <w:p w:rsidR="00600219" w:rsidRDefault="00D35C8B">
      <w:pPr>
        <w:pStyle w:val="Szvegtrzs"/>
        <w:spacing w:after="0" w:line="240" w:lineRule="auto"/>
        <w:jc w:val="both"/>
      </w:pPr>
      <w:r>
        <w:t>A Dunakeszi Város Önkormányzata Képviselő-testületének a Szociális rászorultságtól függő pénzbeli és természetbeni támogatásokról, valamint a személyes gondoskodást nyújtó szociális és gyermekjóléti ellátásokról szóló 5/2015. (II. 27.) önkormányzati rendelet 2. melléklete az 1. melléklet szerint módosul.</w:t>
      </w:r>
    </w:p>
    <w:p w:rsidR="00600219" w:rsidRDefault="00D35C8B">
      <w:pPr>
        <w:pStyle w:val="Szvegtrzs"/>
        <w:spacing w:before="240" w:after="240" w:line="240" w:lineRule="auto"/>
        <w:jc w:val="center"/>
        <w:rPr>
          <w:b/>
          <w:bCs/>
        </w:rPr>
      </w:pPr>
      <w:r>
        <w:rPr>
          <w:b/>
          <w:bCs/>
        </w:rPr>
        <w:t>2. §</w:t>
      </w:r>
    </w:p>
    <w:p w:rsidR="00600219" w:rsidRDefault="00D35C8B">
      <w:pPr>
        <w:pStyle w:val="Szvegtrzs"/>
        <w:spacing w:after="0" w:line="240" w:lineRule="auto"/>
        <w:jc w:val="both"/>
      </w:pPr>
      <w:r>
        <w:t>Ez a rendelet a kihirdetését követő napon lép hatályba, és a kihirdetését követő második napon hatályát veszti.</w:t>
      </w:r>
      <w:r>
        <w:br w:type="page"/>
      </w:r>
    </w:p>
    <w:p w:rsidR="00600219" w:rsidRDefault="00D35C8B">
      <w:pPr>
        <w:pStyle w:val="Szvegtrzs"/>
        <w:spacing w:line="240" w:lineRule="auto"/>
        <w:jc w:val="right"/>
        <w:rPr>
          <w:i/>
          <w:iCs/>
          <w:u w:val="single"/>
        </w:rPr>
      </w:pPr>
      <w:r>
        <w:rPr>
          <w:i/>
          <w:iCs/>
          <w:u w:val="single"/>
        </w:rPr>
        <w:lastRenderedPageBreak/>
        <w:t>1. melléklet az .../... . (... . ... .) önkormányzati rendelethez</w:t>
      </w:r>
    </w:p>
    <w:p w:rsidR="00600219" w:rsidRDefault="00D35C8B">
      <w:pPr>
        <w:pStyle w:val="Szvegtrzs"/>
        <w:spacing w:before="220" w:after="0" w:line="240" w:lineRule="auto"/>
        <w:jc w:val="both"/>
      </w:pPr>
      <w:r>
        <w:t>1. A Dunakeszi Város Önkormányzata Képviselő-testületének 5/2015 (II.27.) önkormányzati rendelete A Szociális rászorultságtól függő pénzbeli és természetbeni támogatásokról, valamint a személyes gondoskodást nyújtó szociális és gyermekjóléti ellátásokról szóló 5/2015. (II. 27.) önkormányzati rendelet 2. melléklet 2. pontjában foglalt táblázat „Dunakeszi Kártya nélkül óránként Minden megkezdett óra egész órának számít.” sora és „Dunakeszi Kártyával óránként Minden megkezdett óra egész órának számít.” sora helyébe a következő rendelkezések lépnek:</w:t>
      </w:r>
    </w:p>
    <w:p w:rsidR="00600219" w:rsidRDefault="00D35C8B">
      <w:pPr>
        <w:jc w:val="both"/>
      </w:pPr>
      <w:r>
        <w:t>„</w:t>
      </w:r>
    </w:p>
    <w:tbl>
      <w:tblPr>
        <w:tblW w:w="9638" w:type="dxa"/>
        <w:tblInd w:w="-7" w:type="dxa"/>
        <w:tblLayout w:type="fixed"/>
        <w:tblCellMar>
          <w:top w:w="28" w:type="dxa"/>
          <w:left w:w="28" w:type="dxa"/>
          <w:bottom w:w="28" w:type="dxa"/>
          <w:right w:w="28" w:type="dxa"/>
        </w:tblCellMar>
        <w:tblLook w:val="0000" w:firstRow="0" w:lastRow="0" w:firstColumn="0" w:lastColumn="0" w:noHBand="0" w:noVBand="0"/>
      </w:tblPr>
      <w:tblGrid>
        <w:gridCol w:w="2531"/>
        <w:gridCol w:w="3893"/>
        <w:gridCol w:w="3214"/>
      </w:tblGrid>
      <w:tr w:rsidR="00600219">
        <w:tc>
          <w:tcPr>
            <w:tcW w:w="2531" w:type="dxa"/>
            <w:tcBorders>
              <w:top w:val="single" w:sz="6" w:space="0" w:color="000000"/>
              <w:left w:val="single" w:sz="6" w:space="0" w:color="000000"/>
              <w:bottom w:val="single" w:sz="6" w:space="0" w:color="000000"/>
              <w:right w:val="single" w:sz="6" w:space="0" w:color="000000"/>
            </w:tcBorders>
          </w:tcPr>
          <w:p w:rsidR="00600219" w:rsidRDefault="00D35C8B">
            <w:pPr>
              <w:pStyle w:val="Szvegtrzs"/>
              <w:spacing w:after="0" w:line="240" w:lineRule="auto"/>
              <w:rPr>
                <w:sz w:val="18"/>
                <w:szCs w:val="18"/>
              </w:rPr>
            </w:pPr>
            <w:r>
              <w:rPr>
                <w:sz w:val="18"/>
                <w:szCs w:val="18"/>
              </w:rPr>
              <w:t xml:space="preserve">Dunakeszi Kártya nélkül óránként </w:t>
            </w:r>
            <w:r>
              <w:rPr>
                <w:sz w:val="18"/>
                <w:szCs w:val="18"/>
              </w:rPr>
              <w:br/>
            </w:r>
            <w:r>
              <w:rPr>
                <w:i/>
                <w:iCs/>
                <w:sz w:val="18"/>
                <w:szCs w:val="18"/>
              </w:rPr>
              <w:t>Minden megkezdett óra egész órának számít.</w:t>
            </w:r>
          </w:p>
        </w:tc>
        <w:tc>
          <w:tcPr>
            <w:tcW w:w="3893" w:type="dxa"/>
            <w:tcBorders>
              <w:top w:val="single" w:sz="6" w:space="0" w:color="000000"/>
              <w:left w:val="single" w:sz="6" w:space="0" w:color="000000"/>
              <w:bottom w:val="single" w:sz="6" w:space="0" w:color="000000"/>
              <w:right w:val="single" w:sz="6" w:space="0" w:color="000000"/>
            </w:tcBorders>
          </w:tcPr>
          <w:p w:rsidR="00600219" w:rsidRDefault="00D35C8B">
            <w:pPr>
              <w:pStyle w:val="Szvegtrzs"/>
              <w:spacing w:after="0" w:line="240" w:lineRule="auto"/>
              <w:rPr>
                <w:sz w:val="18"/>
                <w:szCs w:val="18"/>
              </w:rPr>
            </w:pPr>
            <w:r>
              <w:rPr>
                <w:i/>
                <w:iCs/>
                <w:sz w:val="18"/>
                <w:szCs w:val="18"/>
              </w:rPr>
              <w:t>1.</w:t>
            </w:r>
            <w:r>
              <w:rPr>
                <w:sz w:val="18"/>
                <w:szCs w:val="18"/>
              </w:rPr>
              <w:t>5</w:t>
            </w:r>
            <w:r>
              <w:rPr>
                <w:i/>
                <w:iCs/>
                <w:sz w:val="18"/>
                <w:szCs w:val="18"/>
              </w:rPr>
              <w:t>00,-Ft/fő</w:t>
            </w:r>
          </w:p>
        </w:tc>
        <w:tc>
          <w:tcPr>
            <w:tcW w:w="3214" w:type="dxa"/>
            <w:tcBorders>
              <w:top w:val="single" w:sz="6" w:space="0" w:color="000000"/>
              <w:left w:val="single" w:sz="6" w:space="0" w:color="000000"/>
              <w:bottom w:val="single" w:sz="6" w:space="0" w:color="000000"/>
              <w:right w:val="single" w:sz="6" w:space="0" w:color="000000"/>
            </w:tcBorders>
          </w:tcPr>
          <w:p w:rsidR="00600219" w:rsidRDefault="00D35C8B">
            <w:pPr>
              <w:pStyle w:val="Szvegtrzs"/>
              <w:spacing w:after="0" w:line="240" w:lineRule="auto"/>
              <w:rPr>
                <w:sz w:val="18"/>
                <w:szCs w:val="18"/>
              </w:rPr>
            </w:pPr>
            <w:r>
              <w:rPr>
                <w:sz w:val="18"/>
                <w:szCs w:val="18"/>
              </w:rPr>
              <w:t xml:space="preserve">reggeli: 145,- Ft/fő </w:t>
            </w:r>
            <w:r>
              <w:rPr>
                <w:sz w:val="18"/>
                <w:szCs w:val="18"/>
              </w:rPr>
              <w:br/>
              <w:t xml:space="preserve">tízórai: 100,- Ft/fő </w:t>
            </w:r>
            <w:r>
              <w:rPr>
                <w:sz w:val="18"/>
                <w:szCs w:val="18"/>
              </w:rPr>
              <w:br/>
              <w:t xml:space="preserve">ebéd: 600,- Ft/fő </w:t>
            </w:r>
            <w:r>
              <w:rPr>
                <w:sz w:val="18"/>
                <w:szCs w:val="18"/>
              </w:rPr>
              <w:br/>
              <w:t>uzsonna: 125,- Ft/fő</w:t>
            </w:r>
          </w:p>
        </w:tc>
      </w:tr>
      <w:tr w:rsidR="00600219">
        <w:tc>
          <w:tcPr>
            <w:tcW w:w="2531" w:type="dxa"/>
            <w:tcBorders>
              <w:top w:val="single" w:sz="6" w:space="0" w:color="000000"/>
              <w:left w:val="single" w:sz="6" w:space="0" w:color="000000"/>
              <w:bottom w:val="single" w:sz="6" w:space="0" w:color="000000"/>
              <w:right w:val="single" w:sz="6" w:space="0" w:color="000000"/>
            </w:tcBorders>
          </w:tcPr>
          <w:p w:rsidR="00600219" w:rsidRDefault="00D35C8B">
            <w:pPr>
              <w:pStyle w:val="Szvegtrzs"/>
              <w:spacing w:after="0" w:line="240" w:lineRule="auto"/>
              <w:rPr>
                <w:sz w:val="18"/>
                <w:szCs w:val="18"/>
              </w:rPr>
            </w:pPr>
            <w:r>
              <w:rPr>
                <w:i/>
                <w:iCs/>
                <w:sz w:val="18"/>
                <w:szCs w:val="18"/>
              </w:rPr>
              <w:t xml:space="preserve">Dunakeszi Kártyával óránként </w:t>
            </w:r>
            <w:r>
              <w:rPr>
                <w:sz w:val="18"/>
                <w:szCs w:val="18"/>
              </w:rPr>
              <w:br/>
            </w:r>
            <w:r>
              <w:rPr>
                <w:i/>
                <w:iCs/>
                <w:sz w:val="18"/>
                <w:szCs w:val="18"/>
              </w:rPr>
              <w:t>Minden megkezdett óra egész órának számít.</w:t>
            </w:r>
          </w:p>
        </w:tc>
        <w:tc>
          <w:tcPr>
            <w:tcW w:w="3893" w:type="dxa"/>
            <w:tcBorders>
              <w:top w:val="single" w:sz="6" w:space="0" w:color="000000"/>
              <w:left w:val="single" w:sz="6" w:space="0" w:color="000000"/>
              <w:bottom w:val="single" w:sz="6" w:space="0" w:color="000000"/>
              <w:right w:val="single" w:sz="6" w:space="0" w:color="000000"/>
            </w:tcBorders>
          </w:tcPr>
          <w:p w:rsidR="00600219" w:rsidRDefault="00D35C8B">
            <w:pPr>
              <w:pStyle w:val="Szvegtrzs"/>
              <w:spacing w:after="0" w:line="240" w:lineRule="auto"/>
              <w:rPr>
                <w:sz w:val="18"/>
                <w:szCs w:val="18"/>
              </w:rPr>
            </w:pPr>
            <w:r>
              <w:rPr>
                <w:i/>
                <w:iCs/>
                <w:sz w:val="18"/>
                <w:szCs w:val="18"/>
              </w:rPr>
              <w:t>1.</w:t>
            </w:r>
            <w:r>
              <w:rPr>
                <w:sz w:val="18"/>
                <w:szCs w:val="18"/>
              </w:rPr>
              <w:t>0</w:t>
            </w:r>
            <w:r>
              <w:rPr>
                <w:i/>
                <w:iCs/>
                <w:sz w:val="18"/>
                <w:szCs w:val="18"/>
              </w:rPr>
              <w:t>00,- Ft/fő</w:t>
            </w:r>
          </w:p>
        </w:tc>
        <w:tc>
          <w:tcPr>
            <w:tcW w:w="3214" w:type="dxa"/>
            <w:tcBorders>
              <w:top w:val="single" w:sz="6" w:space="0" w:color="000000"/>
              <w:left w:val="single" w:sz="6" w:space="0" w:color="000000"/>
              <w:bottom w:val="single" w:sz="6" w:space="0" w:color="000000"/>
              <w:right w:val="single" w:sz="6" w:space="0" w:color="000000"/>
            </w:tcBorders>
          </w:tcPr>
          <w:p w:rsidR="00600219" w:rsidRDefault="00D35C8B">
            <w:pPr>
              <w:pStyle w:val="Szvegtrzs"/>
              <w:spacing w:after="0" w:line="240" w:lineRule="auto"/>
              <w:rPr>
                <w:sz w:val="18"/>
                <w:szCs w:val="18"/>
              </w:rPr>
            </w:pPr>
            <w:r>
              <w:rPr>
                <w:sz w:val="18"/>
                <w:szCs w:val="18"/>
              </w:rPr>
              <w:t xml:space="preserve">reggeli: 145,- Ft/fő </w:t>
            </w:r>
            <w:r>
              <w:rPr>
                <w:sz w:val="18"/>
                <w:szCs w:val="18"/>
              </w:rPr>
              <w:br/>
              <w:t xml:space="preserve">tízórai: 100,- Ft/fő </w:t>
            </w:r>
            <w:r>
              <w:rPr>
                <w:sz w:val="18"/>
                <w:szCs w:val="18"/>
              </w:rPr>
              <w:br/>
              <w:t xml:space="preserve">ebéd: 600,- Ft/fő </w:t>
            </w:r>
            <w:r>
              <w:rPr>
                <w:sz w:val="18"/>
                <w:szCs w:val="18"/>
              </w:rPr>
              <w:br/>
              <w:t>uzsonna: 125,- Ft/fő</w:t>
            </w:r>
          </w:p>
        </w:tc>
      </w:tr>
    </w:tbl>
    <w:p w:rsidR="00600219" w:rsidRDefault="00D35C8B">
      <w:pPr>
        <w:jc w:val="right"/>
        <w:sectPr w:rsidR="00600219">
          <w:footerReference w:type="default" r:id="rId7"/>
          <w:pgSz w:w="11906" w:h="16838"/>
          <w:pgMar w:top="1134" w:right="1134" w:bottom="1693" w:left="1134" w:header="0" w:footer="1134" w:gutter="0"/>
          <w:cols w:space="708"/>
          <w:formProt w:val="0"/>
          <w:docGrid w:linePitch="600" w:charSpace="32768"/>
        </w:sectPr>
      </w:pPr>
      <w:r>
        <w:t>”</w:t>
      </w:r>
    </w:p>
    <w:p w:rsidR="00600219" w:rsidRDefault="00600219">
      <w:pPr>
        <w:pStyle w:val="Szvegtrzs"/>
        <w:spacing w:after="0"/>
        <w:jc w:val="center"/>
      </w:pPr>
    </w:p>
    <w:p w:rsidR="00600219" w:rsidRDefault="00D35C8B">
      <w:pPr>
        <w:pStyle w:val="Szvegtrzs"/>
        <w:spacing w:after="159" w:line="240" w:lineRule="auto"/>
        <w:ind w:left="159" w:right="159"/>
        <w:jc w:val="center"/>
      </w:pPr>
      <w:r>
        <w:t>Végső előterjesztői indokolás</w:t>
      </w:r>
    </w:p>
    <w:p w:rsidR="00600219" w:rsidRDefault="00D35C8B">
      <w:pPr>
        <w:pStyle w:val="Szvegtrzs"/>
        <w:spacing w:line="240" w:lineRule="auto"/>
        <w:jc w:val="both"/>
      </w:pPr>
      <w:r>
        <w:t xml:space="preserve">A szociális igazgatásról és szociális ellátásokról szóló 1993. évi III. törvény (továbbiakban: </w:t>
      </w:r>
      <w:r>
        <w:rPr>
          <w:b/>
          <w:bCs/>
        </w:rPr>
        <w:t>Szt.</w:t>
      </w:r>
      <w:r>
        <w:t xml:space="preserve">), a gyermekek védelméről és a gyámügyi igazgatásról szóló 1997. évi XXXI. törvény (továbbiakban: </w:t>
      </w:r>
      <w:r>
        <w:rPr>
          <w:b/>
          <w:bCs/>
        </w:rPr>
        <w:t>Gyvt.</w:t>
      </w:r>
      <w:r>
        <w:t>), valamint a végrehajtásukra kiadott jogszabályok alapján meghatározza a szociális rászorultságtól függő pénzbeli és természetbeni települési támogatásokat, azok kifizetésének, folyósításának, valamint felhasználása ellenőrzésének szabályait – a helyi sajátosságoknak megfelelően, az Önkormányzat teherbíró képességének figyelembe vételével – emellett  szabályozta a személyes gondoskodást nyújtó szociális és gyermekjóléti ellátások formáit, azok igénybevételének módját, az ellátás megszűnésének és megszüntetésének eseteit, az ellátásokért fizetendő térítési díjakat, a fenntartó feladatát és jogkörét, valamint a helyi  szociálpolitikai kerekasztal működését.</w:t>
      </w:r>
    </w:p>
    <w:p w:rsidR="00600219" w:rsidRDefault="00D35C8B">
      <w:pPr>
        <w:pStyle w:val="Szvegtrzs"/>
        <w:spacing w:line="240" w:lineRule="auto"/>
        <w:jc w:val="both"/>
      </w:pPr>
      <w:r>
        <w:t>Dunakeszi Város Önkormányzata a törvényi előírásoknak megfelelően alkotta meg a szociális rászorultságtól függő pénzbeli és természetbeni támogatásokról, valamint a személyes gondoskodást nyújtó szociális és gyermekjóléti ellátásokról szóló 5/2015. (II.27.) számú önkormányzati rendeletét, amelynek módosítása a Dunakeszi Város Önkormányzata által önként vállalt szociális szolgáltatásban (időszakos gyermekfelügyelet) történt változásra tekintettel volt indokolt.</w:t>
      </w:r>
    </w:p>
    <w:sectPr w:rsidR="00600219">
      <w:footerReference w:type="default" r:id="rId8"/>
      <w:pgSz w:w="11906" w:h="16838"/>
      <w:pgMar w:top="1134" w:right="1134" w:bottom="1693" w:left="1134" w:header="0" w:footer="1134" w:gutter="0"/>
      <w:cols w:space="708"/>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55E1" w:rsidRDefault="00D35C8B">
      <w:r>
        <w:separator/>
      </w:r>
    </w:p>
  </w:endnote>
  <w:endnote w:type="continuationSeparator" w:id="0">
    <w:p w:rsidR="000655E1" w:rsidRDefault="00D3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Liberation Serif">
    <w:altName w:val="Times New Roman"/>
    <w:charset w:val="01"/>
    <w:family w:val="roman"/>
    <w:pitch w:val="variable"/>
  </w:font>
  <w:font w:name="Noto Sans CJK SC Regular">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Times New Roman">
    <w:altName w:val="Times New Roman PS"/>
    <w:panose1 w:val="02020603050405020304"/>
    <w:charset w:val="EE"/>
    <w:family w:val="roman"/>
    <w:pitch w:val="variable"/>
    <w:sig w:usb0="E0002EFF" w:usb1="C000785B" w:usb2="00000009" w:usb3="00000000" w:csb0="000001FF" w:csb1="00000000"/>
  </w:font>
  <w:font w:name="Liberation Sans">
    <w:altName w:val="Arial"/>
    <w:charset w:val="01"/>
    <w:family w:val="swiss"/>
    <w:pitch w:val="variable"/>
  </w:font>
  <w:font w:name="OpenSymbol">
    <w:charset w:val="02"/>
    <w:family w:val="auto"/>
    <w:pitch w:val="default"/>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219" w:rsidRDefault="00D35C8B">
    <w:pPr>
      <w:pStyle w:val="llb"/>
      <w:jc w:val="center"/>
    </w:pPr>
    <w:r>
      <w:fldChar w:fldCharType="begin"/>
    </w:r>
    <w:r>
      <w:instrText>PAGE</w:instrText>
    </w:r>
    <w:r>
      <w:fldChar w:fldCharType="separate"/>
    </w:r>
    <w:r w:rsidR="00A15FC8">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219" w:rsidRDefault="00D35C8B">
    <w:pPr>
      <w:pStyle w:val="llb"/>
      <w:jc w:val="center"/>
    </w:pPr>
    <w:r>
      <w:fldChar w:fldCharType="begin"/>
    </w:r>
    <w:r>
      <w:instrText>PAGE</w:instrText>
    </w:r>
    <w:r>
      <w:fldChar w:fldCharType="separate"/>
    </w:r>
    <w:r w:rsidR="00A15FC8">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55E1" w:rsidRDefault="00D35C8B">
      <w:r>
        <w:separator/>
      </w:r>
    </w:p>
  </w:footnote>
  <w:footnote w:type="continuationSeparator" w:id="0">
    <w:p w:rsidR="000655E1" w:rsidRDefault="00D35C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A07288"/>
    <w:multiLevelType w:val="multilevel"/>
    <w:tmpl w:val="391A059C"/>
    <w:lvl w:ilvl="0">
      <w:start w:val="1"/>
      <w:numFmt w:val="none"/>
      <w:pStyle w:val="Cmsor1"/>
      <w:suff w:val="nothing"/>
      <w:lvlText w:val=""/>
      <w:lvlJc w:val="left"/>
      <w:pPr>
        <w:tabs>
          <w:tab w:val="num" w:pos="0"/>
        </w:tabs>
        <w:ind w:left="0" w:firstLine="0"/>
      </w:pPr>
    </w:lvl>
    <w:lvl w:ilvl="1">
      <w:start w:val="1"/>
      <w:numFmt w:val="none"/>
      <w:pStyle w:val="Cmsor2"/>
      <w:suff w:val="nothing"/>
      <w:lvlText w:val=""/>
      <w:lvlJc w:val="left"/>
      <w:pPr>
        <w:tabs>
          <w:tab w:val="num" w:pos="0"/>
        </w:tabs>
        <w:ind w:left="0" w:firstLine="0"/>
      </w:pPr>
    </w:lvl>
    <w:lvl w:ilvl="2">
      <w:start w:val="1"/>
      <w:numFmt w:val="none"/>
      <w:pStyle w:val="Cmsor3"/>
      <w:suff w:val="nothing"/>
      <w:lvlText w:val=""/>
      <w:lvlJc w:val="left"/>
      <w:pPr>
        <w:tabs>
          <w:tab w:val="num" w:pos="0"/>
        </w:tabs>
        <w:ind w:left="0" w:firstLine="0"/>
      </w:pPr>
    </w:lvl>
    <w:lvl w:ilvl="3">
      <w:start w:val="1"/>
      <w:numFmt w:val="none"/>
      <w:pStyle w:val="Cmsor4"/>
      <w:suff w:val="nothing"/>
      <w:lvlText w:val=""/>
      <w:lvlJc w:val="left"/>
      <w:pPr>
        <w:tabs>
          <w:tab w:val="num" w:pos="0"/>
        </w:tabs>
        <w:ind w:left="0" w:firstLine="0"/>
      </w:pPr>
    </w:lvl>
    <w:lvl w:ilvl="4">
      <w:start w:val="1"/>
      <w:numFmt w:val="none"/>
      <w:pStyle w:val="Cmsor5"/>
      <w:suff w:val="nothing"/>
      <w:lvlText w:val=""/>
      <w:lvlJc w:val="left"/>
      <w:pPr>
        <w:tabs>
          <w:tab w:val="num" w:pos="0"/>
        </w:tabs>
        <w:ind w:left="0" w:firstLine="0"/>
      </w:pPr>
    </w:lvl>
    <w:lvl w:ilvl="5">
      <w:start w:val="1"/>
      <w:numFmt w:val="none"/>
      <w:pStyle w:val="Cmsor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0219"/>
    <w:rsid w:val="000655E1"/>
    <w:rsid w:val="00600219"/>
    <w:rsid w:val="00706AAF"/>
    <w:rsid w:val="008578AA"/>
    <w:rsid w:val="00A15FC8"/>
    <w:rsid w:val="00D35C8B"/>
    <w:rsid w:val="00F1122B"/>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5D4ED5-7EB0-4874-9112-DD6B375E6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oto Sans CJK SC Regular" w:hAnsi="Liberation Serif" w:cs="FreeSans"/>
        <w:kern w:val="2"/>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Pr>
      <w:rFonts w:ascii="Times New Roman" w:hAnsi="Times New Roman"/>
      <w:lang w:val="hu-HU"/>
    </w:rPr>
  </w:style>
  <w:style w:type="paragraph" w:styleId="Cmsor1">
    <w:name w:val="heading 1"/>
    <w:basedOn w:val="Heading"/>
    <w:next w:val="Szvegtrzs"/>
    <w:qFormat/>
    <w:pPr>
      <w:numPr>
        <w:numId w:val="1"/>
      </w:numPr>
      <w:outlineLvl w:val="0"/>
    </w:pPr>
    <w:rPr>
      <w:b/>
      <w:bCs/>
      <w:sz w:val="36"/>
      <w:szCs w:val="36"/>
    </w:rPr>
  </w:style>
  <w:style w:type="paragraph" w:styleId="Cmsor2">
    <w:name w:val="heading 2"/>
    <w:basedOn w:val="Heading"/>
    <w:next w:val="Szvegtrzs"/>
    <w:qFormat/>
    <w:pPr>
      <w:numPr>
        <w:ilvl w:val="1"/>
        <w:numId w:val="1"/>
      </w:numPr>
      <w:spacing w:before="200"/>
      <w:outlineLvl w:val="1"/>
    </w:pPr>
    <w:rPr>
      <w:b/>
      <w:bCs/>
      <w:sz w:val="32"/>
      <w:szCs w:val="32"/>
    </w:rPr>
  </w:style>
  <w:style w:type="paragraph" w:styleId="Cmsor3">
    <w:name w:val="heading 3"/>
    <w:basedOn w:val="Heading"/>
    <w:next w:val="Szvegtrzs"/>
    <w:qFormat/>
    <w:pPr>
      <w:numPr>
        <w:ilvl w:val="2"/>
        <w:numId w:val="1"/>
      </w:numPr>
      <w:spacing w:before="140"/>
      <w:outlineLvl w:val="2"/>
    </w:pPr>
    <w:rPr>
      <w:b/>
      <w:bCs/>
    </w:rPr>
  </w:style>
  <w:style w:type="paragraph" w:styleId="Cmsor4">
    <w:name w:val="heading 4"/>
    <w:basedOn w:val="Heading"/>
    <w:next w:val="Szvegtrzs"/>
    <w:qFormat/>
    <w:pPr>
      <w:numPr>
        <w:ilvl w:val="3"/>
        <w:numId w:val="1"/>
      </w:numPr>
      <w:spacing w:before="120"/>
      <w:outlineLvl w:val="3"/>
    </w:pPr>
    <w:rPr>
      <w:b/>
      <w:bCs/>
      <w:i/>
      <w:iCs/>
      <w:sz w:val="27"/>
      <w:szCs w:val="27"/>
    </w:rPr>
  </w:style>
  <w:style w:type="paragraph" w:styleId="Cmsor5">
    <w:name w:val="heading 5"/>
    <w:basedOn w:val="Heading"/>
    <w:next w:val="Szvegtrzs"/>
    <w:qFormat/>
    <w:pPr>
      <w:numPr>
        <w:ilvl w:val="4"/>
        <w:numId w:val="1"/>
      </w:numPr>
      <w:spacing w:before="120" w:after="60"/>
      <w:outlineLvl w:val="4"/>
    </w:pPr>
    <w:rPr>
      <w:b/>
      <w:bCs/>
      <w:sz w:val="24"/>
      <w:szCs w:val="24"/>
    </w:rPr>
  </w:style>
  <w:style w:type="paragraph" w:styleId="Cmsor6">
    <w:name w:val="heading 6"/>
    <w:basedOn w:val="Heading"/>
    <w:next w:val="Szvegtrzs"/>
    <w:qFormat/>
    <w:pPr>
      <w:numPr>
        <w:ilvl w:val="5"/>
        <w:numId w:val="1"/>
      </w:numPr>
      <w:spacing w:before="60" w:after="60"/>
      <w:outlineLvl w:val="5"/>
    </w:pPr>
    <w:rPr>
      <w:b/>
      <w:bCs/>
      <w:i/>
      <w:iCs/>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iperhivatkozs">
    <w:name w:val="Hyperlink"/>
    <w:rPr>
      <w:color w:val="000080"/>
      <w:u w:val="single"/>
    </w:rPr>
  </w:style>
  <w:style w:type="character" w:styleId="Mrltotthiperhivatkozs">
    <w:name w:val="FollowedHyperlink"/>
    <w:rPr>
      <w:color w:val="800000"/>
      <w:u w:val="single"/>
    </w:rPr>
  </w:style>
  <w:style w:type="character" w:customStyle="1" w:styleId="NumberingSymbols">
    <w:name w:val="Numbering Symbols"/>
    <w:qFormat/>
  </w:style>
  <w:style w:type="character" w:customStyle="1" w:styleId="Bullets">
    <w:name w:val="Bullets"/>
    <w:qFormat/>
    <w:rPr>
      <w:rFonts w:ascii="OpenSymbol" w:eastAsia="OpenSymbol" w:hAnsi="OpenSymbol" w:cs="OpenSymbol"/>
    </w:rPr>
  </w:style>
  <w:style w:type="paragraph" w:customStyle="1" w:styleId="Heading">
    <w:name w:val="Heading"/>
    <w:basedOn w:val="Norml"/>
    <w:next w:val="Szvegtrzs"/>
    <w:qFormat/>
    <w:pPr>
      <w:keepNext/>
      <w:spacing w:before="240" w:after="120"/>
    </w:pPr>
    <w:rPr>
      <w:rFonts w:ascii="Liberation Sans" w:hAnsi="Liberation Sans"/>
      <w:sz w:val="28"/>
      <w:szCs w:val="28"/>
    </w:rPr>
  </w:style>
  <w:style w:type="paragraph" w:styleId="Szvegtrzs">
    <w:name w:val="Body Text"/>
    <w:basedOn w:val="Norml"/>
    <w:pPr>
      <w:spacing w:after="140" w:line="288" w:lineRule="auto"/>
    </w:pPr>
  </w:style>
  <w:style w:type="paragraph" w:styleId="Lista">
    <w:name w:val="List"/>
    <w:basedOn w:val="Szvegtrzs"/>
  </w:style>
  <w:style w:type="paragraph" w:styleId="Kpalrs">
    <w:name w:val="caption"/>
    <w:basedOn w:val="Norml"/>
    <w:qFormat/>
    <w:pPr>
      <w:suppressLineNumbers/>
      <w:spacing w:before="120" w:after="120"/>
    </w:pPr>
    <w:rPr>
      <w:i/>
      <w:iCs/>
    </w:rPr>
  </w:style>
  <w:style w:type="paragraph" w:customStyle="1" w:styleId="Index">
    <w:name w:val="Index"/>
    <w:basedOn w:val="Norml"/>
    <w:qFormat/>
    <w:pPr>
      <w:suppressLineNumbers/>
    </w:pPr>
  </w:style>
  <w:style w:type="paragraph" w:customStyle="1" w:styleId="HeaderandFooter">
    <w:name w:val="Header and Footer"/>
    <w:basedOn w:val="Norml"/>
    <w:qFormat/>
    <w:pPr>
      <w:suppressLineNumbers/>
      <w:tabs>
        <w:tab w:val="center" w:pos="4986"/>
        <w:tab w:val="right" w:pos="9972"/>
      </w:tabs>
    </w:pPr>
  </w:style>
  <w:style w:type="paragraph" w:styleId="llb">
    <w:name w:val="footer"/>
    <w:basedOn w:val="Norml"/>
    <w:pPr>
      <w:suppressLineNumbers/>
      <w:tabs>
        <w:tab w:val="center" w:pos="4819"/>
        <w:tab w:val="right" w:pos="9638"/>
      </w:tabs>
    </w:pPr>
  </w:style>
  <w:style w:type="paragraph" w:customStyle="1" w:styleId="TableContents">
    <w:name w:val="Table Contents"/>
    <w:basedOn w:val="Norml"/>
    <w:qFormat/>
    <w:pPr>
      <w:suppressLineNumbers/>
    </w:pPr>
  </w:style>
  <w:style w:type="paragraph" w:customStyle="1" w:styleId="TableHeading">
    <w:name w:val="Table Heading"/>
    <w:basedOn w:val="TableContents"/>
    <w:qFormat/>
    <w:pPr>
      <w:jc w:val="center"/>
    </w:pPr>
    <w:rPr>
      <w:b/>
      <w:bCs/>
    </w:rPr>
  </w:style>
  <w:style w:type="paragraph" w:customStyle="1" w:styleId="HorizontalLine">
    <w:name w:val="Horizontal Line"/>
    <w:basedOn w:val="Norml"/>
    <w:next w:val="Szvegtrzs"/>
    <w:qFormat/>
    <w:pPr>
      <w:suppressLineNumbers/>
      <w:pBdr>
        <w:bottom w:val="double" w:sz="2" w:space="0" w:color="808080"/>
      </w:pBdr>
      <w:spacing w:after="283"/>
    </w:pPr>
    <w:rPr>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500</Words>
  <Characters>3456</Characters>
  <Application>Microsoft Office Word</Application>
  <DocSecurity>0</DocSecurity>
  <Lines>28</Lines>
  <Paragraphs>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Nagyné dr. Spiegelhalter Renáta</dc:creator>
  <dc:description/>
  <cp:lastModifiedBy>Forgács Andrea</cp:lastModifiedBy>
  <cp:revision>2</cp:revision>
  <cp:lastPrinted>2023-09-22T09:21:00Z</cp:lastPrinted>
  <dcterms:created xsi:type="dcterms:W3CDTF">2023-09-22T09:21:00Z</dcterms:created>
  <dcterms:modified xsi:type="dcterms:W3CDTF">2023-09-22T09:21:00Z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ngleXMLDocument_count">
    <vt:r8>1</vt:r8>
  </property>
</Properties>
</file>